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EA9A0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i w:val="0"/>
          <w:iCs w:val="0"/>
          <w:caps w:val="0"/>
          <w:color w:val="000000" w:themeColor="text1"/>
          <w:spacing w:val="0"/>
          <w:sz w:val="21"/>
          <w:szCs w:val="21"/>
          <w14:textFill>
            <w14:solidFill>
              <w14:schemeClr w14:val="tx1"/>
            </w14:solidFill>
          </w14:textFill>
        </w:rPr>
      </w:pPr>
      <w:bookmarkStart w:id="0" w:name="_GoBack"/>
      <w:r>
        <w:rPr>
          <w:rFonts w:hint="eastAsia" w:ascii="宋体" w:hAnsi="宋体" w:eastAsia="宋体" w:cs="宋体"/>
          <w:b/>
          <w:bCs/>
          <w:i w:val="0"/>
          <w:iCs w:val="0"/>
          <w:caps w:val="0"/>
          <w:color w:val="000000" w:themeColor="text1"/>
          <w:spacing w:val="0"/>
          <w:sz w:val="21"/>
          <w:szCs w:val="21"/>
          <w:shd w:val="clear" w:fill="FFFFFF"/>
          <w14:textFill>
            <w14:solidFill>
              <w14:schemeClr w14:val="tx1"/>
            </w14:solidFill>
          </w14:textFill>
        </w:rPr>
        <w:t>采购清单：</w:t>
      </w:r>
    </w:p>
    <w:bookmarkEnd w:id="0"/>
    <w:tbl>
      <w:tblPr>
        <w:tblStyle w:val="3"/>
        <w:tblW w:w="9465" w:type="dxa"/>
        <w:tblInd w:w="141"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630"/>
        <w:gridCol w:w="1065"/>
        <w:gridCol w:w="975"/>
        <w:gridCol w:w="1305"/>
        <w:gridCol w:w="885"/>
        <w:gridCol w:w="4605"/>
      </w:tblGrid>
      <w:tr w14:paraId="7C2EACB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61" w:hRule="atLeast"/>
        </w:trPr>
        <w:tc>
          <w:tcPr>
            <w:tcW w:w="630"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30B54089">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序号</w:t>
            </w:r>
          </w:p>
        </w:tc>
        <w:tc>
          <w:tcPr>
            <w:tcW w:w="106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2AA1D316">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产品名称</w:t>
            </w:r>
          </w:p>
        </w:tc>
        <w:tc>
          <w:tcPr>
            <w:tcW w:w="97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46E7F9EB">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规格型号</w:t>
            </w:r>
          </w:p>
        </w:tc>
        <w:tc>
          <w:tcPr>
            <w:tcW w:w="130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73E37C6D">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center"/>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功率/能耗</w:t>
            </w:r>
          </w:p>
        </w:tc>
        <w:tc>
          <w:tcPr>
            <w:tcW w:w="88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0C694669">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center"/>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数量</w:t>
            </w:r>
          </w:p>
        </w:tc>
        <w:tc>
          <w:tcPr>
            <w:tcW w:w="460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09C90078">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center"/>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参数(不低于以下要求，允许优于)</w:t>
            </w:r>
          </w:p>
        </w:tc>
      </w:tr>
      <w:tr w14:paraId="424478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345" w:hRule="atLeast"/>
        </w:trPr>
        <w:tc>
          <w:tcPr>
            <w:tcW w:w="630"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5655F2F3">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right="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1</w:t>
            </w:r>
          </w:p>
        </w:tc>
        <w:tc>
          <w:tcPr>
            <w:tcW w:w="106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686EA70E">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双炒双温燃气灶</w:t>
            </w:r>
          </w:p>
        </w:tc>
        <w:tc>
          <w:tcPr>
            <w:tcW w:w="97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56C3D45E">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both"/>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2000*1150*800/350</w:t>
            </w:r>
          </w:p>
        </w:tc>
        <w:tc>
          <w:tcPr>
            <w:tcW w:w="130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6868E909">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center"/>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250W*/220V</w:t>
            </w:r>
          </w:p>
          <w:p w14:paraId="66CCB9D1">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center"/>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4.8m³/h*2-12T.55kwX2</w:t>
            </w:r>
          </w:p>
        </w:tc>
        <w:tc>
          <w:tcPr>
            <w:tcW w:w="88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2A5B7E0B">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1台</w:t>
            </w:r>
          </w:p>
        </w:tc>
        <w:tc>
          <w:tcPr>
            <w:tcW w:w="4605" w:type="dxa"/>
            <w:vMerge w:val="restart"/>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567D90E0">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1、材质：优质 304不锈钢，台面厚度为1.4mm，一次冲压成型；前板、侧板、后背板厚度均为 1.2mm；</w:t>
            </w:r>
          </w:p>
          <w:p w14:paraId="6634201D">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2、炉体骨架采用 40*40*4mm 国标角铁，焊接牢固，并采用防锈、喷漆处理；</w:t>
            </w:r>
          </w:p>
          <w:p w14:paraId="715298BB">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3、炉膛采用A3，3mm热轧铁板，炉膛内采用塘泥耐火砖砌结火位；</w:t>
            </w:r>
          </w:p>
          <w:p w14:paraId="2CA0718B">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4、采用纯铜炉头，稀土金属聚能网；</w:t>
            </w:r>
          </w:p>
          <w:p w14:paraId="1D8D6AA0">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5、厨用中压风机，用电 250W/220V；</w:t>
            </w:r>
          </w:p>
          <w:p w14:paraId="2F275D91">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6、气管道采用无缝管焊接成型，水管采用镀锌铁管，风管采用Φ60 镀锌风管；</w:t>
            </w:r>
          </w:p>
          <w:p w14:paraId="7EAEFE50">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7、配不锈钢摇摆水龙头，前置来水控制，不锈钢下水管；</w:t>
            </w:r>
          </w:p>
          <w:p w14:paraId="1627209C">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8、自动电子脉冲点火系统及离子感应熄火保护装置。</w:t>
            </w:r>
          </w:p>
          <w:p w14:paraId="3357B0AE">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9、炉通脚Φ50mm 无缝不锈钢管，配可调炉身高度的不锈钢子弹脚。</w:t>
            </w:r>
          </w:p>
          <w:p w14:paraId="1E1F116F">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10、国标CCC款熄火保护 采用电子打火，一键启动</w:t>
            </w:r>
          </w:p>
          <w:p w14:paraId="7CA13175">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11、符合GB 30531-2014节能认证</w:t>
            </w:r>
          </w:p>
          <w:p w14:paraId="4B7E6C0E">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12、符合国标35848-2024 燃气生产许可</w:t>
            </w:r>
          </w:p>
          <w:p w14:paraId="697B0BF3">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13.燃气大锅灶具有食品接触产品安全认证证书、中国环保产品认证证书、中国节能产品认证证书。燃气大锅灶具有符合GB30531-2014《商用燃气灶具能效限定值及能效等级》，能效等级为1级的检测报告。</w:t>
            </w:r>
          </w:p>
        </w:tc>
      </w:tr>
      <w:tr w14:paraId="30D4F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286" w:hRule="atLeast"/>
        </w:trPr>
        <w:tc>
          <w:tcPr>
            <w:tcW w:w="630"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439CE7F0">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right="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2</w:t>
            </w:r>
          </w:p>
        </w:tc>
        <w:tc>
          <w:tcPr>
            <w:tcW w:w="106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38B0249C">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双头燃气大锅灶</w:t>
            </w:r>
          </w:p>
        </w:tc>
        <w:tc>
          <w:tcPr>
            <w:tcW w:w="97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776897C9">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both"/>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2100*1150*800/350</w:t>
            </w:r>
          </w:p>
        </w:tc>
        <w:tc>
          <w:tcPr>
            <w:tcW w:w="130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2340D60A">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center"/>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250W*/220V</w:t>
            </w:r>
          </w:p>
          <w:p w14:paraId="0BB0AC23">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jc w:val="center"/>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6.3m³/h*2-12T.60kwX2</w:t>
            </w:r>
          </w:p>
        </w:tc>
        <w:tc>
          <w:tcPr>
            <w:tcW w:w="885"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654F1BB1">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right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t>7台</w:t>
            </w:r>
          </w:p>
        </w:tc>
        <w:tc>
          <w:tcPr>
            <w:tcW w:w="4605" w:type="dxa"/>
            <w:vMerge w:val="continue"/>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14:paraId="380EEF8F">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left="0" w:leftChars="0" w:right="0" w:rightChars="0" w:firstLine="480" w:firstLineChars="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p>
        </w:tc>
      </w:tr>
    </w:tbl>
    <w:p w14:paraId="73A4670D">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240" w:lineRule="auto"/>
        <w:ind w:right="0"/>
        <w:jc w:val="left"/>
        <w:textAlignment w:val="auto"/>
        <w:rPr>
          <w:rFonts w:hint="eastAsia" w:ascii="宋体" w:hAnsi="宋体" w:eastAsia="宋体" w:cs="宋体"/>
          <w:i w:val="0"/>
          <w:iCs w:val="0"/>
          <w:caps w:val="0"/>
          <w:color w:val="000000" w:themeColor="text1"/>
          <w:spacing w:val="0"/>
          <w:kern w:val="0"/>
          <w:sz w:val="21"/>
          <w:szCs w:val="21"/>
          <w:shd w:val="clear" w:fill="FFFFFF"/>
          <w:lang w:val="en-US" w:eastAsia="zh-CN" w:bidi="ar"/>
          <w14:textFill>
            <w14:solidFill>
              <w14:schemeClr w14:val="tx1"/>
            </w14:solidFill>
          </w14:textFill>
        </w:rPr>
      </w:pPr>
    </w:p>
    <w:p w14:paraId="0D7071D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themeColor="text1"/>
          <w:spacing w:val="0"/>
          <w:sz w:val="21"/>
          <w:szCs w:val="21"/>
          <w14:textFill>
            <w14:solidFill>
              <w14:schemeClr w14:val="tx1"/>
            </w14:solidFill>
          </w14:textFill>
        </w:rPr>
      </w:pPr>
      <w:r>
        <w:rPr>
          <w:rFonts w:hint="eastAsia" w:ascii="宋体" w:hAnsi="宋体" w:eastAsia="宋体" w:cs="宋体"/>
          <w:b/>
          <w:bCs/>
          <w:i w:val="0"/>
          <w:iCs w:val="0"/>
          <w:caps w:val="0"/>
          <w:color w:val="000000" w:themeColor="text1"/>
          <w:spacing w:val="0"/>
          <w:sz w:val="21"/>
          <w:szCs w:val="21"/>
          <w:shd w:val="clear" w:fill="FFFFFF"/>
          <w14:textFill>
            <w14:solidFill>
              <w14:schemeClr w14:val="tx1"/>
            </w14:solidFill>
          </w14:textFill>
        </w:rPr>
        <w:t>注：</w:t>
      </w:r>
      <w:r>
        <w:rPr>
          <w:rFonts w:hint="eastAsia" w:ascii="宋体" w:hAnsi="宋体" w:eastAsia="宋体" w:cs="宋体"/>
          <w:i w:val="0"/>
          <w:iCs w:val="0"/>
          <w:caps w:val="0"/>
          <w:color w:val="000000" w:themeColor="text1"/>
          <w:spacing w:val="0"/>
          <w:sz w:val="21"/>
          <w:szCs w:val="21"/>
          <w:shd w:val="clear" w:fill="FFFFFF"/>
          <w14:textFill>
            <w14:solidFill>
              <w14:schemeClr w14:val="tx1"/>
            </w14:solidFill>
          </w14:textFill>
        </w:rPr>
        <w:t>1.表中数量为"暂定工程量"，最终按学校书面确认的实际拆换数量×中标单价结算(综合单价不变)。</w:t>
      </w:r>
    </w:p>
    <w:p w14:paraId="26707CF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20"/>
        <w:textAlignment w:val="auto"/>
        <w:rPr>
          <w:rFonts w:hint="eastAsia" w:ascii="宋体" w:hAnsi="宋体" w:eastAsia="宋体" w:cs="宋体"/>
          <w:i w:val="0"/>
          <w:iCs w:val="0"/>
          <w:caps w:val="0"/>
          <w:color w:val="000000" w:themeColor="text1"/>
          <w:spacing w:val="0"/>
          <w:sz w:val="21"/>
          <w:szCs w:val="21"/>
          <w14:textFill>
            <w14:solidFill>
              <w14:schemeClr w14:val="tx1"/>
            </w14:solidFill>
          </w14:textFill>
        </w:rPr>
      </w:pPr>
      <w:r>
        <w:rPr>
          <w:rFonts w:hint="eastAsia" w:ascii="宋体" w:hAnsi="宋体" w:eastAsia="宋体" w:cs="宋体"/>
          <w:i w:val="0"/>
          <w:iCs w:val="0"/>
          <w:caps w:val="0"/>
          <w:color w:val="000000" w:themeColor="text1"/>
          <w:spacing w:val="0"/>
          <w:sz w:val="21"/>
          <w:szCs w:val="21"/>
          <w:shd w:val="clear" w:fill="FFFFFF"/>
          <w14:textFill>
            <w14:solidFill>
              <w14:schemeClr w14:val="tx1"/>
            </w14:solidFill>
          </w14:textFill>
        </w:rPr>
        <w:t>2.项目报价中须考虑设备运输、拆除、安装、</w:t>
      </w:r>
      <w:r>
        <w:rPr>
          <w:rFonts w:hint="eastAsia" w:ascii="宋体" w:hAnsi="宋体" w:eastAsia="宋体" w:cs="宋体"/>
          <w:i w:val="0"/>
          <w:iCs w:val="0"/>
          <w:caps w:val="0"/>
          <w:color w:val="000000" w:themeColor="text1"/>
          <w:spacing w:val="0"/>
          <w:sz w:val="21"/>
          <w:szCs w:val="21"/>
          <w:shd w:val="clear" w:fill="FFFFFF"/>
          <w:lang w:val="en-US" w:eastAsia="zh-CN"/>
          <w14:textFill>
            <w14:solidFill>
              <w14:schemeClr w14:val="tx1"/>
            </w14:solidFill>
          </w14:textFill>
        </w:rPr>
        <w:t>辅料、</w:t>
      </w:r>
      <w:r>
        <w:rPr>
          <w:rFonts w:hint="eastAsia" w:ascii="宋体" w:hAnsi="宋体" w:eastAsia="宋体" w:cs="宋体"/>
          <w:i w:val="0"/>
          <w:iCs w:val="0"/>
          <w:caps w:val="0"/>
          <w:color w:val="000000" w:themeColor="text1"/>
          <w:spacing w:val="0"/>
          <w:sz w:val="21"/>
          <w:szCs w:val="21"/>
          <w:shd w:val="clear" w:fill="FFFFFF"/>
          <w14:textFill>
            <w14:solidFill>
              <w14:schemeClr w14:val="tx1"/>
            </w14:solidFill>
          </w14:textFill>
        </w:rPr>
        <w:t>保险、质保、税金、人员工资等所有相关费用，此外学校不再支付其他任何费用。承包人提出的工程清单漏项或者工程量有误均不作为调整合同价款的依据。</w:t>
      </w:r>
    </w:p>
    <w:p w14:paraId="77FF5465"/>
    <w:sectPr>
      <w:pgSz w:w="11906" w:h="16838"/>
      <w:pgMar w:top="1440" w:right="1800" w:bottom="1440"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B36187"/>
    <w:rsid w:val="22315125"/>
    <w:rsid w:val="2FB36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2026-01-29T07:35:00Z</dcterms:created>
  <dc:creator>印</dc:creator>
  <cp:lastModifiedBy>印</cp:lastModifiedBy>
  <dcterms:modified xsi:type="dcterms:W3CDTF">2026-01-29T07:35:29Z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AE59D5BED2904CA6BD930A4EC864BA8B_13</vt:lpwstr>
  </property>
  <property fmtid="{D5CDD505-2E9C-101B-9397-08002B2CF9AE}" pid="4" name="KSOTemplateDocerSaveRecord">
    <vt:lpwstr>eyJoZGlkIjoiNDI3NjQ2NjA5NjcwMDFkMzlkOTM2MTBjNjNhOTNkOWIiLCJ1c2VySWQiOiIxMTM0NDYwMjM2In0=</vt:lpwstr>
  </property>
</Properties>
</file>